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4710">
      <w:pPr>
        <w:numPr>
          <w:ilvl w:val="0"/>
          <w:numId w:val="0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系统截图：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http://10.11.17.253:98/ 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账号密码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 admin 111111</w:t>
      </w:r>
    </w:p>
    <w:p w14:paraId="0C15675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37C4E59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45B49AA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储能电站健康管理系统</w:t>
      </w:r>
    </w:p>
    <w:p w14:paraId="4EC2625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t>易事特储能电站健康管理系统，构建电站-设备-器件多层健康指标，从电池一致性、异常工况、运行效率等多维度进行数据分析，具备安全预警与智能诊断能力，实现运维全流程数字化闭环，全面提升储能电站安全性、运行效率与设备寿命。</w:t>
      </w:r>
    </w:p>
    <w:p w14:paraId="5FBCC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East Energy Storage Health Management System</w:t>
      </w:r>
    </w:p>
    <w:p w14:paraId="7FD4B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Multi-layer health monitoring for stations, equipment and components. Data-driven analysis on battery consistency, operating status and efficiency enables safety early warning and intelligent diagnosis, achieving full digital O&amp;M closed-loop to enhance safety, efficiency and lifespan of energy storage systems.</w:t>
      </w:r>
    </w:p>
    <w:p w14:paraId="29C8EE1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0D34E1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0F168DA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79795" cy="2575560"/>
            <wp:effectExtent l="0" t="0" r="1905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BAAC8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平台特点：</w:t>
      </w:r>
    </w:p>
    <w:p w14:paraId="736B3DCE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全面安全防护</w:t>
      </w:r>
    </w:p>
    <w:p w14:paraId="169CFA76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多层次纵深防护体系，场站-设备-器件级多层级评估电站运行情况</w:t>
      </w:r>
    </w:p>
    <w:p w14:paraId="68A6E9BA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广泛覆盖，电池、PCS、箱变、动环、电气连接件等全场站设备监控管理</w:t>
      </w:r>
    </w:p>
    <w:p w14:paraId="0CC7BC27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多维度诊断：一致性、滥用工况、异常衰竭、电气连接、数据质量、效率、安全诊断等多维度全面诊断</w:t>
      </w:r>
    </w:p>
    <w:p w14:paraId="128576B9"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主动运维，降低非停损失</w:t>
      </w:r>
    </w:p>
    <w:p w14:paraId="60828819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“实时告警→安全预警→定期诊断”的主动防御体系，防患于未然</w:t>
      </w:r>
    </w:p>
    <w:p w14:paraId="170B830B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智能预警，提前30天识别容量异常，7天识别安全隐患，精准维护，减少更换与停机损失</w:t>
      </w:r>
    </w:p>
    <w:p w14:paraId="676FFC9D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全生命周期价值管理</w:t>
      </w:r>
    </w:p>
    <w:p w14:paraId="08804052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智能识别性能短板，有效提升系统整体可用容量与运行效率，守护资产长期价值</w:t>
      </w:r>
    </w:p>
    <w:p w14:paraId="7ABA880B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持续的性能评估，形成“监控-分析-运维-优化”的管理闭环，支撑运营决策</w:t>
      </w:r>
    </w:p>
    <w:p w14:paraId="2DED11D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CDCA456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Platform Features</w:t>
      </w:r>
    </w:p>
    <w:p w14:paraId="639D6374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Comprehensive Safety Protection</w:t>
      </w:r>
    </w:p>
    <w:p w14:paraId="52632F09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Multi-layered defense covering station, equipment and component-level assessment</w:t>
      </w:r>
    </w:p>
    <w:p w14:paraId="00A0A0D3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Full-site monitoring for batteries, PCS, box-type transformers, BPS, electrical connections and more</w:t>
      </w:r>
    </w:p>
    <w:p w14:paraId="324081D2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Multi-dimensional diagnostics: consistency, abusive conditions, abnormal degradation, electrical connections, data quality, efficiency and safety</w:t>
      </w:r>
    </w:p>
    <w:p w14:paraId="4815F3A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8A5D620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Proactive O&amp;M, Reduced Outage Losses</w:t>
      </w:r>
    </w:p>
    <w:p w14:paraId="2638DC84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Proactive defense: real-time alerts → safety pre-warning → periodic diagnosis</w:t>
      </w:r>
    </w:p>
    <w:p w14:paraId="2FFD69E9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Intelligent early warning: 30-day capacity anomaly detection, 7-day safety risk identification for precise maintenance</w:t>
      </w:r>
    </w:p>
    <w:p w14:paraId="4F252FE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5BC645C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Full-Lifecycle Value Management</w:t>
      </w:r>
    </w:p>
    <w:p w14:paraId="62E565CD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Intelligent performance optimization boosts usable capacity and efficiency, preserving long-term asset value</w:t>
      </w:r>
    </w:p>
    <w:p w14:paraId="1D3EBABD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Closed-loop management: monitoring → analysis → O&amp;M → optimization, supporting data-driven operational decisions</w:t>
      </w:r>
    </w:p>
    <w:p w14:paraId="7A0B6BA4">
      <w:pPr>
        <w:numPr>
          <w:ilvl w:val="0"/>
          <w:numId w:val="0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技术参数</w:t>
      </w:r>
      <w:r>
        <w:rPr>
          <w:rFonts w:ascii="宋体" w:hAnsi="宋体" w:eastAsia="宋体" w:cs="宋体"/>
          <w:sz w:val="24"/>
          <w:szCs w:val="24"/>
        </w:rPr>
        <w:t>Technical Specifications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1F28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7E7E7E" w:themeFill="text1" w:themeFillTint="80"/>
          </w:tcPr>
          <w:p w14:paraId="20154756">
            <w:pPr>
              <w:rPr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产品型号Product Models</w:t>
            </w:r>
          </w:p>
        </w:tc>
        <w:tc>
          <w:tcPr>
            <w:tcW w:w="6004" w:type="dxa"/>
            <w:shd w:val="clear" w:color="auto" w:fill="7E7E7E" w:themeFill="text1" w:themeFillTint="80"/>
          </w:tcPr>
          <w:p w14:paraId="6B5E63D0">
            <w:pPr>
              <w:rPr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EA</w:t>
            </w:r>
            <w:r>
              <w:rPr>
                <w:rFonts w:cs="宋体" w:asciiTheme="minorEastAsia" w:hAnsiTheme="minorEastAsia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PHMS-DM266</w:t>
            </w:r>
          </w:p>
        </w:tc>
      </w:tr>
      <w:tr w14:paraId="2AD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 w14:paraId="3263699D">
            <w:pPr>
              <w:jc w:val="center"/>
            </w:pPr>
            <w:r>
              <w:rPr>
                <w:rFonts w:hint="eastAsia"/>
                <w:b/>
                <w:bCs/>
              </w:rPr>
              <w:t>系统</w:t>
            </w:r>
            <w:r>
              <w:rPr>
                <w:rFonts w:hint="eastAsia" w:ascii="等线 Light" w:hAnsi="等线 Light" w:eastAsia="等线 Light" w:cs="等线 Light"/>
                <w:sz w:val="18"/>
                <w:szCs w:val="18"/>
              </w:rPr>
              <w:t>System</w:t>
            </w:r>
          </w:p>
        </w:tc>
      </w:tr>
      <w:tr w14:paraId="6359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8577E23">
            <w:r>
              <w:rPr>
                <w:rFonts w:hint="eastAsia"/>
              </w:rPr>
              <w:t>核心功能</w:t>
            </w:r>
            <w:r>
              <w:rPr>
                <w:rFonts w:hint="eastAsia" w:ascii="等线 Light" w:hAnsi="等线 Light" w:eastAsia="等线 Light" w:cs="等线 Light"/>
                <w:sz w:val="18"/>
                <w:szCs w:val="18"/>
              </w:rPr>
              <w:t>Primary Functions</w:t>
            </w:r>
          </w:p>
        </w:tc>
        <w:tc>
          <w:tcPr>
            <w:tcW w:w="6004" w:type="dxa"/>
          </w:tcPr>
          <w:p w14:paraId="194E49E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Multi-dimensional consistency analysis of voltage, temperature, SOC, combined with safety diagnosis and anomaly warning, enables full-equipment monitoring from cells to PCS, power environment and box-type transformers. Data-driven assessment covers station-level health, energy efficiency and reliability.</w:t>
            </w:r>
          </w:p>
        </w:tc>
      </w:tr>
      <w:tr w14:paraId="725B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 w14:paraId="4A77D6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采集参数</w:t>
            </w:r>
            <w:r>
              <w:rPr>
                <w:rFonts w:ascii="宋体" w:hAnsi="宋体" w:eastAsia="宋体" w:cs="宋体"/>
                <w:sz w:val="24"/>
                <w:szCs w:val="24"/>
              </w:rPr>
              <w:t>Collected Parameters</w:t>
            </w:r>
          </w:p>
        </w:tc>
      </w:tr>
      <w:tr w14:paraId="3C4F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FFFFF" w:themeFill="background1"/>
          </w:tcPr>
          <w:p w14:paraId="5E2F21F6">
            <w:pPr>
              <w:rPr>
                <w:rFonts w:hint="eastAsia"/>
              </w:rPr>
            </w:pPr>
            <w:r>
              <w:rPr>
                <w:rFonts w:hint="eastAsia"/>
              </w:rPr>
              <w:t>采集支持设备</w:t>
            </w:r>
          </w:p>
          <w:p w14:paraId="06422D9E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Supported Devices</w:t>
            </w:r>
          </w:p>
        </w:tc>
        <w:tc>
          <w:tcPr>
            <w:tcW w:w="6004" w:type="dxa"/>
            <w:shd w:val="clear" w:color="auto" w:fill="FFFFFF" w:themeFill="background1"/>
          </w:tcPr>
          <w:p w14:paraId="5136BF25">
            <w:pPr>
              <w:rPr>
                <w:rFonts w:hint="eastAsia"/>
              </w:rPr>
            </w:pPr>
            <w:r>
              <w:rPr>
                <w:rFonts w:hint="eastAsia"/>
              </w:rPr>
              <w:t>箱变、变流器、电池堆、电池簇、电芯</w:t>
            </w:r>
          </w:p>
          <w:p w14:paraId="332A0FD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z w:val="24"/>
                <w:szCs w:val="24"/>
              </w:rPr>
              <w:t>ox-type transformer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z w:val="24"/>
                <w:szCs w:val="24"/>
              </w:rPr>
              <w:t>PCS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,PACK,C</w:t>
            </w:r>
            <w:r>
              <w:rPr>
                <w:rFonts w:ascii="宋体" w:hAnsi="宋体" w:eastAsia="宋体" w:cs="宋体"/>
                <w:sz w:val="24"/>
                <w:szCs w:val="24"/>
              </w:rPr>
              <w:t>ell</w:t>
            </w:r>
          </w:p>
        </w:tc>
      </w:tr>
      <w:tr w14:paraId="719A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FFFFF" w:themeFill="background1"/>
          </w:tcPr>
          <w:p w14:paraId="4E74977B">
            <w:pPr>
              <w:rPr>
                <w:rFonts w:hint="eastAsia"/>
              </w:rPr>
            </w:pPr>
            <w:r>
              <w:rPr>
                <w:rFonts w:hint="eastAsia"/>
              </w:rPr>
              <w:t>采集间隔</w:t>
            </w:r>
          </w:p>
          <w:p w14:paraId="3716F548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Acquisition Interval</w:t>
            </w:r>
            <w:bookmarkStart w:id="0" w:name="_GoBack"/>
            <w:bookmarkEnd w:id="0"/>
          </w:p>
        </w:tc>
        <w:tc>
          <w:tcPr>
            <w:tcW w:w="6004" w:type="dxa"/>
            <w:shd w:val="clear" w:color="auto" w:fill="FFFFFF" w:themeFill="background1"/>
          </w:tcPr>
          <w:p w14:paraId="69E42CE3">
            <w:pPr>
              <w:rPr>
                <w:rFonts w:hint="eastAsia"/>
              </w:rPr>
            </w:pPr>
            <w:r>
              <w:rPr>
                <w:rFonts w:hint="eastAsia"/>
              </w:rPr>
              <w:t>默认15s（可配置）</w:t>
            </w:r>
          </w:p>
          <w:p w14:paraId="077C7439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Default: 15s (configurable)</w:t>
            </w:r>
          </w:p>
        </w:tc>
      </w:tr>
      <w:tr w14:paraId="7E07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 w14:paraId="140E2756">
            <w:pPr>
              <w:jc w:val="center"/>
            </w:pPr>
            <w:r>
              <w:rPr>
                <w:rFonts w:hint="eastAsia"/>
                <w:b/>
                <w:bCs/>
              </w:rPr>
              <w:t>存储容量指标</w:t>
            </w:r>
            <w:r>
              <w:rPr>
                <w:rFonts w:ascii="宋体" w:hAnsi="宋体" w:eastAsia="宋体" w:cs="宋体"/>
                <w:sz w:val="24"/>
                <w:szCs w:val="24"/>
              </w:rPr>
              <w:t>Storage Capacity Metrics</w:t>
            </w:r>
          </w:p>
        </w:tc>
      </w:tr>
      <w:tr w14:paraId="79B8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FFFFF" w:themeFill="background1"/>
            <w:vAlign w:val="center"/>
          </w:tcPr>
          <w:p w14:paraId="2E5EE6E2">
            <w:pPr>
              <w:rPr>
                <w:rFonts w:hint="eastAsia"/>
              </w:rPr>
            </w:pPr>
            <w:r>
              <w:rPr>
                <w:rFonts w:hint="eastAsia"/>
              </w:rPr>
              <w:t>历史数据存储时间</w:t>
            </w:r>
          </w:p>
          <w:p w14:paraId="3238703E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Historical Data Retention Period</w:t>
            </w:r>
          </w:p>
        </w:tc>
        <w:tc>
          <w:tcPr>
            <w:tcW w:w="6004" w:type="dxa"/>
            <w:shd w:val="clear" w:color="auto" w:fill="FFFFFF" w:themeFill="background1"/>
            <w:vAlign w:val="bottom"/>
          </w:tcPr>
          <w:p w14:paraId="09CC3276">
            <w:pPr>
              <w:rPr>
                <w:rFonts w:hint="eastAsia"/>
              </w:rPr>
            </w:pPr>
            <w:r>
              <w:rPr>
                <w:rFonts w:hint="eastAsia"/>
              </w:rPr>
              <w:t>≥2年</w:t>
            </w:r>
          </w:p>
          <w:p w14:paraId="31709766">
            <w:pPr>
              <w:rPr>
                <w:rFonts w:hint="eastAsia"/>
              </w:rPr>
            </w:pPr>
            <w:r>
              <w:rPr>
                <w:rFonts w:hint="eastAsia"/>
              </w:rPr>
              <w:t>≥2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years</w:t>
            </w:r>
          </w:p>
        </w:tc>
      </w:tr>
      <w:tr w14:paraId="1938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FFFFF" w:themeFill="background1"/>
            <w:vAlign w:val="center"/>
          </w:tcPr>
          <w:p w14:paraId="6C4898A6">
            <w:pPr>
              <w:rPr>
                <w:rFonts w:hint="eastAsia"/>
              </w:rPr>
            </w:pPr>
            <w:r>
              <w:rPr>
                <w:rFonts w:hint="eastAsia"/>
              </w:rPr>
              <w:t>磁盘容量告警</w:t>
            </w:r>
          </w:p>
          <w:p w14:paraId="7F790CD5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Disk Capacity Alarm</w:t>
            </w:r>
          </w:p>
        </w:tc>
        <w:tc>
          <w:tcPr>
            <w:tcW w:w="6004" w:type="dxa"/>
            <w:shd w:val="clear" w:color="auto" w:fill="FFFFFF" w:themeFill="background1"/>
            <w:vAlign w:val="bottom"/>
          </w:tcPr>
          <w:p w14:paraId="3815039A">
            <w:pPr>
              <w:rPr>
                <w:rFonts w:hint="eastAsia"/>
              </w:rPr>
            </w:pPr>
            <w:r>
              <w:rPr>
                <w:rFonts w:hint="eastAsia"/>
              </w:rPr>
              <w:t>80%（当存储容量余额低于系统运行要求容量的80%时发出告警信息）</w:t>
            </w:r>
          </w:p>
          <w:p w14:paraId="0216B39E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80%(Alarm triggered when remaining storage capacity falls below 80% of the system’s required operating capacity)</w:t>
            </w:r>
          </w:p>
        </w:tc>
      </w:tr>
      <w:tr w14:paraId="2FCE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FFFFF" w:themeFill="background1"/>
            <w:vAlign w:val="center"/>
          </w:tcPr>
          <w:p w14:paraId="667C7656">
            <w:pPr>
              <w:rPr>
                <w:rFonts w:hint="eastAsia"/>
              </w:rPr>
            </w:pPr>
            <w:r>
              <w:rPr>
                <w:rFonts w:hint="eastAsia"/>
              </w:rPr>
              <w:t>实时数据库容量</w:t>
            </w:r>
          </w:p>
          <w:p w14:paraId="522438D2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Real-time Database Capacity</w:t>
            </w:r>
          </w:p>
        </w:tc>
        <w:tc>
          <w:tcPr>
            <w:tcW w:w="6004" w:type="dxa"/>
            <w:shd w:val="clear" w:color="auto" w:fill="FFFFFF" w:themeFill="background1"/>
            <w:vAlign w:val="bottom"/>
          </w:tcPr>
          <w:p w14:paraId="4FD4BFCC">
            <w:pPr>
              <w:rPr>
                <w:rFonts w:hint="eastAsia"/>
              </w:rPr>
            </w:pPr>
            <w:r>
              <w:rPr>
                <w:rFonts w:hint="eastAsia"/>
              </w:rPr>
              <w:t>模拟量大于或等于150万点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状态量大于或等于80万点</w:t>
            </w:r>
          </w:p>
          <w:p w14:paraId="13671FA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Analog values ≥ 1.5 million points</w:t>
            </w:r>
          </w:p>
          <w:p w14:paraId="334442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Status values ≥ 800,000 points</w:t>
            </w:r>
          </w:p>
        </w:tc>
      </w:tr>
      <w:tr w14:paraId="36D1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FFFFFF" w:themeFill="background1"/>
            <w:vAlign w:val="center"/>
          </w:tcPr>
          <w:p w14:paraId="35066FBA">
            <w:pPr>
              <w:rPr>
                <w:rFonts w:hint="eastAsia"/>
              </w:rPr>
            </w:pPr>
            <w:r>
              <w:rPr>
                <w:rFonts w:hint="eastAsia"/>
              </w:rPr>
              <w:t>历史数据库存储容量</w:t>
            </w:r>
          </w:p>
          <w:p w14:paraId="65B0E642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Historical Database Storage Capacity</w:t>
            </w:r>
          </w:p>
        </w:tc>
        <w:tc>
          <w:tcPr>
            <w:tcW w:w="6004" w:type="dxa"/>
            <w:shd w:val="clear" w:color="auto" w:fill="FFFFFF" w:themeFill="background1"/>
            <w:vAlign w:val="bottom"/>
          </w:tcPr>
          <w:p w14:paraId="52F908BD">
            <w:pPr>
              <w:rPr>
                <w:rFonts w:hint="eastAsia"/>
              </w:rPr>
            </w:pPr>
            <w:r>
              <w:rPr>
                <w:rFonts w:hint="eastAsia"/>
              </w:rPr>
              <w:t>历史曲线采样间隔为1～30min（可调）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支持秒级存储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日报，月报，年报存储时间大于或等于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历史趋势曲线大于或等于300条</w:t>
            </w:r>
          </w:p>
          <w:p w14:paraId="665DCB93">
            <w:pPr>
              <w:rPr>
                <w:rFonts w:hint="eastAsia"/>
              </w:rPr>
            </w:pPr>
          </w:p>
          <w:p w14:paraId="301DB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Historical curve sampling interval: 1–30 min (adjustable)</w:t>
            </w:r>
          </w:p>
          <w:p w14:paraId="3A0A7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Supports second-level data storage</w:t>
            </w:r>
          </w:p>
          <w:p w14:paraId="63200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Daily, monthly &amp; annual reports stored for ≥ 2 years</w:t>
            </w:r>
          </w:p>
          <w:p w14:paraId="6E7ED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Historical trend curves: ≥ 300 items</w:t>
            </w:r>
          </w:p>
          <w:p w14:paraId="5659D3E8">
            <w:pPr>
              <w:rPr>
                <w:rFonts w:hint="eastAsia"/>
              </w:rPr>
            </w:pPr>
          </w:p>
        </w:tc>
      </w:tr>
      <w:tr w14:paraId="04B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 w14:paraId="1C4B02AE">
            <w:pPr>
              <w:jc w:val="center"/>
            </w:pPr>
            <w:r>
              <w:rPr>
                <w:rFonts w:hint="eastAsia"/>
                <w:b/>
                <w:bCs/>
              </w:rPr>
              <w:t>通讯</w:t>
            </w:r>
            <w:r>
              <w:rPr>
                <w:rFonts w:ascii="宋体" w:hAnsi="宋体" w:eastAsia="宋体" w:cs="宋体"/>
                <w:sz w:val="24"/>
                <w:szCs w:val="24"/>
              </w:rPr>
              <w:t>Communication</w:t>
            </w:r>
          </w:p>
        </w:tc>
      </w:tr>
      <w:tr w14:paraId="2C7F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12798C7">
            <w:r>
              <w:rPr>
                <w:rFonts w:ascii="宋体" w:hAnsi="宋体" w:eastAsia="宋体" w:cs="宋体"/>
                <w:sz w:val="24"/>
                <w:szCs w:val="24"/>
              </w:rPr>
              <w:t>通讯介质Communication Media</w:t>
            </w:r>
          </w:p>
        </w:tc>
        <w:tc>
          <w:tcPr>
            <w:tcW w:w="6004" w:type="dxa"/>
          </w:tcPr>
          <w:p w14:paraId="6DE08A8D">
            <w:r>
              <w:t>光纤/以太网</w:t>
            </w:r>
          </w:p>
          <w:p w14:paraId="771CF211">
            <w:r>
              <w:rPr>
                <w:rFonts w:ascii="宋体" w:hAnsi="宋体" w:eastAsia="宋体" w:cs="宋体"/>
                <w:sz w:val="24"/>
                <w:szCs w:val="24"/>
              </w:rPr>
              <w:t>Fiber/Ethernet</w:t>
            </w:r>
          </w:p>
        </w:tc>
      </w:tr>
      <w:tr w14:paraId="14D0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E77B53C">
            <w:r>
              <w:rPr>
                <w:rFonts w:ascii="宋体" w:hAnsi="宋体" w:eastAsia="宋体" w:cs="宋体"/>
                <w:sz w:val="24"/>
                <w:szCs w:val="24"/>
              </w:rPr>
              <w:t>组网形式Network Topology</w:t>
            </w:r>
          </w:p>
        </w:tc>
        <w:tc>
          <w:tcPr>
            <w:tcW w:w="6004" w:type="dxa"/>
          </w:tcPr>
          <w:p w14:paraId="1CA18150">
            <w:r>
              <w:t>总线型/星型/环网</w:t>
            </w:r>
          </w:p>
          <w:p w14:paraId="417085FB">
            <w:r>
              <w:rPr>
                <w:rFonts w:ascii="宋体" w:hAnsi="宋体" w:eastAsia="宋体" w:cs="宋体"/>
                <w:sz w:val="24"/>
                <w:szCs w:val="24"/>
              </w:rPr>
              <w:t>Bus/Star/Ring topology</w:t>
            </w:r>
          </w:p>
        </w:tc>
      </w:tr>
      <w:tr w14:paraId="1619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60CBD15">
            <w:r>
              <w:rPr>
                <w:rFonts w:ascii="宋体" w:hAnsi="宋体" w:eastAsia="宋体" w:cs="宋体"/>
                <w:sz w:val="24"/>
                <w:szCs w:val="24"/>
              </w:rPr>
              <w:t>通讯规约Communication Media</w:t>
            </w:r>
          </w:p>
        </w:tc>
        <w:tc>
          <w:tcPr>
            <w:tcW w:w="6004" w:type="dxa"/>
          </w:tcPr>
          <w:p w14:paraId="51BE8C4B">
            <w:pPr>
              <w:rPr>
                <w:rFonts w:hint="eastAsia"/>
              </w:rPr>
            </w:pPr>
            <w:r>
              <w:t>IEC 60870-5-104</w:t>
            </w:r>
            <w:r>
              <w:rPr>
                <w:rFonts w:hint="eastAsia"/>
              </w:rPr>
              <w:t>、自定义规约</w:t>
            </w:r>
          </w:p>
          <w:p w14:paraId="55E17651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IEC 60870-5-104, Custom Protocol</w:t>
            </w:r>
          </w:p>
        </w:tc>
      </w:tr>
      <w:tr w14:paraId="6187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 w14:paraId="055679B5">
            <w:pPr>
              <w:jc w:val="center"/>
            </w:pPr>
            <w:r>
              <w:rPr>
                <w:rFonts w:hint="eastAsia"/>
                <w:b/>
                <w:bCs/>
              </w:rPr>
              <w:t>屏柜</w:t>
            </w:r>
            <w:r>
              <w:rPr>
                <w:rFonts w:ascii="宋体" w:hAnsi="宋体" w:eastAsia="宋体" w:cs="宋体"/>
                <w:sz w:val="24"/>
                <w:szCs w:val="24"/>
              </w:rPr>
              <w:t>Cabinet</w:t>
            </w:r>
          </w:p>
        </w:tc>
      </w:tr>
      <w:tr w14:paraId="198B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1F3C747">
            <w:r>
              <w:t>尺寸（宽*高*深）</w:t>
            </w:r>
          </w:p>
          <w:p w14:paraId="29F27E10">
            <w:r>
              <w:rPr>
                <w:rFonts w:ascii="宋体" w:hAnsi="宋体" w:eastAsia="宋体" w:cs="宋体"/>
                <w:sz w:val="24"/>
                <w:szCs w:val="24"/>
              </w:rPr>
              <w:t>Dimensions (W×H×D)</w:t>
            </w:r>
          </w:p>
        </w:tc>
        <w:tc>
          <w:tcPr>
            <w:tcW w:w="6004" w:type="dxa"/>
          </w:tcPr>
          <w:p w14:paraId="7030C1E3">
            <w:r>
              <w:t>800 mm * 2260 mm * 1000 mm</w:t>
            </w:r>
          </w:p>
        </w:tc>
      </w:tr>
    </w:tbl>
    <w:p w14:paraId="23B7F562">
      <w:pPr>
        <w:numPr>
          <w:ilvl w:val="0"/>
          <w:numId w:val="0"/>
        </w:numPr>
        <w:rPr>
          <w:rFonts w:hint="default"/>
          <w:b/>
          <w:bCs/>
          <w:color w:val="FF0000"/>
          <w:lang w:val="en-US" w:eastAsia="zh-CN"/>
        </w:rPr>
      </w:pPr>
    </w:p>
    <w:p w14:paraId="0BC16E8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8685CE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7F9F5F6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57BA523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5CF24D2">
      <w:pPr>
        <w:rPr>
          <w:rFonts w:hint="default"/>
          <w:lang w:val="en-US" w:eastAsia="zh-CN"/>
        </w:rPr>
      </w:pPr>
    </w:p>
    <w:p w14:paraId="4B9647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038F3"/>
    <w:multiLevelType w:val="singleLevel"/>
    <w:tmpl w:val="AA9038F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3C6928A"/>
    <w:multiLevelType w:val="singleLevel"/>
    <w:tmpl w:val="C3C6928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EC52683"/>
    <w:multiLevelType w:val="singleLevel"/>
    <w:tmpl w:val="1EC526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19F5"/>
    <w:rsid w:val="1A727330"/>
    <w:rsid w:val="29DD5428"/>
    <w:rsid w:val="2CA412E3"/>
    <w:rsid w:val="2DF33EB4"/>
    <w:rsid w:val="3AA9203F"/>
    <w:rsid w:val="4914541C"/>
    <w:rsid w:val="4B4C4394"/>
    <w:rsid w:val="50620822"/>
    <w:rsid w:val="549319F5"/>
    <w:rsid w:val="5A2F1CE1"/>
    <w:rsid w:val="5C42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995</Characters>
  <Lines>0</Lines>
  <Paragraphs>0</Paragraphs>
  <TotalTime>8</TotalTime>
  <ScaleCrop>false</ScaleCrop>
  <LinksUpToDate>false</LinksUpToDate>
  <CharactersWithSpaces>1009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2026-02-04T06:35:00Z</dcterms:created>
  <dc:creator>时丕丽</dc:creator>
  <cp:lastModifiedBy>王攀</cp:lastModifiedBy>
  <dcterms:modified xsi:type="dcterms:W3CDTF">2026-02-06T01:13:03Z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73D7A573062E4EDDB85AA2D718D5D929_11</vt:lpwstr>
  </property>
  <property fmtid="{D5CDD505-2E9C-101B-9397-08002B2CF9AE}" pid="4" name="KSOTemplateDocerSaveRecord">
    <vt:lpwstr>eyJoZGlkIjoiNmE3ZWRiNmZlMWNlZjI1Nzc0MTQzODliMWYwMWYyYjEiLCJ1c2VySWQiOiIzNjA0Nzk5NzIifQ==</vt:lpwstr>
  </property>
</Properties>
</file>